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12BB" w:rsidRDefault="00CB12BB" w:rsidP="00CB12BB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5460A2">
        <w:rPr>
          <w:rFonts w:cs="Tahoma"/>
          <w:b/>
          <w:bCs/>
          <w:color w:val="990000"/>
          <w:szCs w:val="20"/>
        </w:rPr>
        <w:t xml:space="preserve">        </w:t>
      </w:r>
      <w:r>
        <w:rPr>
          <w:rFonts w:cs="Tahoma"/>
          <w:b/>
          <w:bCs/>
          <w:color w:val="990000"/>
          <w:szCs w:val="20"/>
        </w:rPr>
        <w:t xml:space="preserve">                                                 ЛЕКЦИЯ № 6</w:t>
      </w:r>
    </w:p>
    <w:p w:rsidR="00CB12BB" w:rsidRPr="005460A2" w:rsidRDefault="00CB12BB" w:rsidP="00CB12BB">
      <w:pPr>
        <w:spacing w:before="225" w:after="75"/>
        <w:ind w:left="375"/>
        <w:outlineLvl w:val="3"/>
        <w:rPr>
          <w:rFonts w:cs="Tahoma"/>
          <w:b/>
          <w:bCs/>
          <w:color w:val="990000"/>
          <w:szCs w:val="20"/>
        </w:rPr>
      </w:pPr>
      <w:r w:rsidRPr="005460A2">
        <w:rPr>
          <w:rFonts w:cs="Tahoma"/>
          <w:b/>
          <w:bCs/>
          <w:color w:val="990000"/>
          <w:szCs w:val="20"/>
        </w:rPr>
        <w:t xml:space="preserve">        </w:t>
      </w:r>
      <w:r>
        <w:rPr>
          <w:rFonts w:cs="Tahoma"/>
          <w:b/>
          <w:bCs/>
          <w:color w:val="990000"/>
          <w:szCs w:val="20"/>
        </w:rPr>
        <w:t xml:space="preserve">               </w:t>
      </w:r>
      <w:r w:rsidRPr="005460A2">
        <w:rPr>
          <w:rFonts w:cs="Tahoma"/>
          <w:b/>
          <w:bCs/>
          <w:color w:val="990000"/>
          <w:szCs w:val="20"/>
        </w:rPr>
        <w:t xml:space="preserve">   Задачи экологически безопасного проектирования</w:t>
      </w:r>
    </w:p>
    <w:p w:rsidR="00CB12BB" w:rsidRPr="005460A2" w:rsidRDefault="00CB12BB" w:rsidP="00CB12BB">
      <w:pPr>
        <w:pStyle w:val="a3"/>
        <w:spacing w:before="0" w:beforeAutospacing="0" w:after="0" w:afterAutospacing="0"/>
        <w:ind w:firstLine="374"/>
        <w:jc w:val="both"/>
        <w:rPr>
          <w:rFonts w:cs="Tahoma"/>
        </w:rPr>
      </w:pPr>
      <w:r w:rsidRPr="005460A2">
        <w:rPr>
          <w:rFonts w:cs="Tahoma"/>
        </w:rPr>
        <w:t xml:space="preserve">Обычное проектирование не может считаться экологически безопасным, поскольку целиком и полностью сводится к одному лишь поиску </w:t>
      </w:r>
      <w:proofErr w:type="spellStart"/>
      <w:r w:rsidRPr="005460A2">
        <w:rPr>
          <w:rFonts w:cs="Tahoma"/>
        </w:rPr>
        <w:t>энергоэффективных</w:t>
      </w:r>
      <w:proofErr w:type="spellEnd"/>
      <w:r w:rsidRPr="005460A2">
        <w:rPr>
          <w:rFonts w:cs="Tahoma"/>
        </w:rPr>
        <w:t xml:space="preserve"> инженерных систем, пусть даже с высокими стоимостными показателями. Между тем именно взаимосвязь здания с местными климатическими условиями с учетом предусматриваемых инженерных решений должно решить задачу его «экологической» привязки.</w:t>
      </w:r>
    </w:p>
    <w:p w:rsidR="00CB12BB" w:rsidRDefault="00CB12BB" w:rsidP="00CB12BB">
      <w:pPr>
        <w:pStyle w:val="a3"/>
        <w:spacing w:before="0" w:beforeAutospacing="0" w:after="0" w:afterAutospacing="0"/>
        <w:ind w:firstLine="374"/>
        <w:jc w:val="both"/>
        <w:rPr>
          <w:rFonts w:ascii="Tahoma" w:hAnsi="Tahoma" w:cs="Tahoma"/>
        </w:rPr>
      </w:pPr>
      <w:r w:rsidRPr="005460A2">
        <w:rPr>
          <w:rFonts w:cs="Tahoma"/>
        </w:rPr>
        <w:t>Задачи эти в первую очередь связаны с Киотским протоколом, а именно со стремлением сократить выбросы в атмосферу веществ, способствующих созданию парникового эффекта и перегреву планеты</w:t>
      </w:r>
      <w:r>
        <w:rPr>
          <w:rFonts w:ascii="Tahoma" w:hAnsi="Tahoma" w:cs="Tahoma"/>
        </w:rPr>
        <w:t>.</w:t>
      </w:r>
    </w:p>
    <w:tbl>
      <w:tblPr>
        <w:tblW w:w="8622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22"/>
      </w:tblGrid>
      <w:tr w:rsidR="00CB12BB" w:rsidTr="00DC0624">
        <w:trPr>
          <w:tblCellSpacing w:w="15" w:type="dxa"/>
          <w:jc w:val="center"/>
        </w:trPr>
        <w:tc>
          <w:tcPr>
            <w:tcW w:w="8562" w:type="dxa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CB12BB" w:rsidRDefault="00CB12BB" w:rsidP="00DC0624">
            <w:pPr>
              <w:jc w:val="center"/>
              <w:rPr>
                <w:rFonts w:ascii="Verdana" w:hAnsi="Verdana" w:cs="Tahoma"/>
                <w:sz w:val="17"/>
                <w:szCs w:val="17"/>
              </w:rPr>
            </w:pPr>
            <w:r>
              <w:rPr>
                <w:rFonts w:ascii="Verdana" w:hAnsi="Verdana" w:cs="Tahoma"/>
                <w:sz w:val="17"/>
                <w:szCs w:val="17"/>
              </w:rPr>
              <w:fldChar w:fldCharType="begin"/>
            </w:r>
            <w:r>
              <w:rPr>
                <w:rFonts w:ascii="Verdana" w:hAnsi="Verdana" w:cs="Tahoma"/>
                <w:sz w:val="17"/>
                <w:szCs w:val="17"/>
              </w:rPr>
              <w:instrText xml:space="preserve"> INCLUDEPICTURE "http://www.abok.ru/for_spec/articles/16/3257/3.gif" \* MERGEFORMATINET </w:instrText>
            </w:r>
            <w:r>
              <w:rPr>
                <w:rFonts w:ascii="Verdana" w:hAnsi="Verdana" w:cs="Tahoma"/>
                <w:sz w:val="17"/>
                <w:szCs w:val="17"/>
              </w:rPr>
              <w:fldChar w:fldCharType="separate"/>
            </w:r>
            <w:r>
              <w:rPr>
                <w:rFonts w:ascii="Verdana" w:hAnsi="Verdana" w:cs="Tahoma"/>
                <w:sz w:val="17"/>
                <w:szCs w:val="1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Пример организации естественной вентиляции на одном из этажей административного здания" style="width:282pt;height:293.25pt">
                  <v:imagedata r:id="rId4" r:href="rId5"/>
                </v:shape>
              </w:pict>
            </w:r>
            <w:r>
              <w:rPr>
                <w:rFonts w:ascii="Verdana" w:hAnsi="Verdana" w:cs="Tahoma"/>
                <w:sz w:val="17"/>
                <w:szCs w:val="17"/>
              </w:rPr>
              <w:fldChar w:fldCharType="end"/>
            </w:r>
          </w:p>
        </w:tc>
      </w:tr>
      <w:tr w:rsidR="00CB12BB" w:rsidRPr="005460A2" w:rsidTr="00DC0624">
        <w:trPr>
          <w:tblCellSpacing w:w="15" w:type="dxa"/>
          <w:jc w:val="center"/>
        </w:trPr>
        <w:tc>
          <w:tcPr>
            <w:tcW w:w="8562" w:type="dxa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CB12BB" w:rsidRDefault="00CB12B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</w:t>
            </w:r>
          </w:p>
          <w:p w:rsidR="00CB12BB" w:rsidRDefault="00CB12B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</w:p>
          <w:p w:rsidR="00CB12BB" w:rsidRPr="005460A2" w:rsidRDefault="00CB12B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         </w:t>
            </w:r>
            <w:r w:rsidRPr="005460A2">
              <w:rPr>
                <w:rFonts w:cs="Tahoma"/>
                <w:color w:val="616161"/>
                <w:szCs w:val="15"/>
              </w:rPr>
              <w:t>Рисунок 3.</w:t>
            </w:r>
          </w:p>
          <w:p w:rsidR="00CB12BB" w:rsidRPr="005460A2" w:rsidRDefault="00CB12B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 w:rsidRPr="005460A2">
              <w:rPr>
                <w:rFonts w:cs="Tahoma"/>
                <w:b/>
                <w:bCs/>
                <w:color w:val="616161"/>
                <w:szCs w:val="15"/>
              </w:rPr>
              <w:t>Пример организации естественной вентиляции на одном из этажей административного здания</w:t>
            </w:r>
            <w:r w:rsidRPr="005460A2">
              <w:rPr>
                <w:rFonts w:cs="Tahoma"/>
                <w:color w:val="616161"/>
                <w:szCs w:val="15"/>
              </w:rPr>
              <w:t>. На рис. А воздух поступает с одной стороны через открытую форточку в окне, проходит через помещение до противоположной стены, осуществляя его вентиляцию, и за счет естественной вытяжки выходит через соответствующий проем. На рис. Б вентиляция организована по иному принципу: один поток наружного воздуха отводится с той же стороны, где и забирается, а второй поток пересекает помещение так же, как и в первом случае</w:t>
            </w:r>
          </w:p>
        </w:tc>
      </w:tr>
    </w:tbl>
    <w:p w:rsidR="00CB12BB" w:rsidRPr="005460A2" w:rsidRDefault="00CB12BB" w:rsidP="00CB12BB">
      <w:pPr>
        <w:pStyle w:val="a3"/>
        <w:spacing w:before="0" w:beforeAutospacing="0" w:after="0" w:afterAutospacing="0"/>
        <w:ind w:firstLine="709"/>
        <w:jc w:val="both"/>
        <w:rPr>
          <w:rFonts w:cs="Tahoma"/>
        </w:rPr>
      </w:pPr>
      <w:r w:rsidRPr="005460A2">
        <w:rPr>
          <w:rFonts w:cs="Tahoma"/>
        </w:rPr>
        <w:t xml:space="preserve">Задача сокращения вредных выбросов сегодня имеет первостепенное значение и более чем актуальна для экологически безопасного проектирования. Пути и методы ее реализации разнообразны. Очевидно, впрочем, что наиболее эффективным будет переход к широкому использованию естественных или возобновляемых источников энергии, таких так естественная вентиляция, солнечная радиация и другие природные источники. Для широкого распространения данных способов энергоснабжения потребуется переоценка подходов в первую очередь к строительному проектированию, нежели к оборудованию </w:t>
      </w:r>
      <w:proofErr w:type="spellStart"/>
      <w:r w:rsidRPr="005460A2">
        <w:rPr>
          <w:rFonts w:cs="Tahoma"/>
        </w:rPr>
        <w:lastRenderedPageBreak/>
        <w:t>климатизации</w:t>
      </w:r>
      <w:proofErr w:type="spellEnd"/>
      <w:r w:rsidRPr="005460A2">
        <w:rPr>
          <w:rFonts w:cs="Tahoma"/>
        </w:rPr>
        <w:t>, после чего сама концепция проекта подскажет, каким типам оборудования отдать предпочтение с учетом отводимой им интегрирующей роли.</w:t>
      </w:r>
    </w:p>
    <w:p w:rsidR="00CB12BB" w:rsidRPr="005460A2" w:rsidRDefault="00CB12BB" w:rsidP="00CB12BB">
      <w:pPr>
        <w:pStyle w:val="a3"/>
        <w:spacing w:before="0" w:beforeAutospacing="0" w:after="0" w:afterAutospacing="0"/>
        <w:ind w:firstLine="709"/>
        <w:jc w:val="both"/>
        <w:rPr>
          <w:rFonts w:cs="Tahoma"/>
        </w:rPr>
      </w:pPr>
      <w:r w:rsidRPr="005460A2">
        <w:rPr>
          <w:rFonts w:cs="Tahoma"/>
        </w:rPr>
        <w:t xml:space="preserve">Имея выбросы в атмосферу порядка </w:t>
      </w:r>
      <w:smartTag w:uri="urn:schemas-microsoft-com:office:smarttags" w:element="metricconverter">
        <w:smartTagPr>
          <w:attr w:name="ProductID" w:val="500 г"/>
        </w:smartTagPr>
        <w:r w:rsidRPr="005460A2">
          <w:rPr>
            <w:rFonts w:cs="Tahoma"/>
          </w:rPr>
          <w:t>500 г</w:t>
        </w:r>
      </w:smartTag>
      <w:r w:rsidRPr="005460A2">
        <w:rPr>
          <w:rFonts w:cs="Tahoma"/>
        </w:rPr>
        <w:t xml:space="preserve"> CO</w:t>
      </w:r>
      <w:r w:rsidRPr="005460A2">
        <w:rPr>
          <w:rFonts w:cs="Tahoma"/>
          <w:szCs w:val="17"/>
          <w:vertAlign w:val="subscript"/>
        </w:rPr>
        <w:t>2</w:t>
      </w:r>
      <w:r w:rsidRPr="005460A2">
        <w:rPr>
          <w:rFonts w:cs="Tahoma"/>
        </w:rPr>
        <w:t xml:space="preserve"> на каждый произведенный кВт • ч (в Италии, где преобладают теплоэлектростанции), каждая сеть электропитания должна выбираться таким образом, чтобы она давала наивысшую производительность в типичном для конкретного проекта режиме эксплуатации.</w:t>
      </w:r>
    </w:p>
    <w:tbl>
      <w:tblPr>
        <w:tblW w:w="8766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66"/>
      </w:tblGrid>
      <w:tr w:rsidR="00CB12BB" w:rsidTr="00DC0624">
        <w:trPr>
          <w:tblCellSpacing w:w="15" w:type="dxa"/>
          <w:jc w:val="center"/>
        </w:trPr>
        <w:tc>
          <w:tcPr>
            <w:tcW w:w="8706" w:type="dxa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CB12BB" w:rsidRDefault="00CB12BB" w:rsidP="00DC0624">
            <w:pPr>
              <w:jc w:val="center"/>
              <w:rPr>
                <w:rFonts w:ascii="Verdana" w:hAnsi="Verdana" w:cs="Tahoma"/>
                <w:sz w:val="17"/>
                <w:szCs w:val="17"/>
              </w:rPr>
            </w:pPr>
            <w:r>
              <w:rPr>
                <w:rFonts w:ascii="Verdana" w:hAnsi="Verdana" w:cs="Tahoma"/>
                <w:sz w:val="17"/>
                <w:szCs w:val="17"/>
              </w:rPr>
              <w:fldChar w:fldCharType="begin"/>
            </w:r>
            <w:r>
              <w:rPr>
                <w:rFonts w:ascii="Verdana" w:hAnsi="Verdana" w:cs="Tahoma"/>
                <w:sz w:val="17"/>
                <w:szCs w:val="17"/>
              </w:rPr>
              <w:instrText xml:space="preserve"> INCLUDEPICTURE "http://www.abok.ru/for_spec/articles/16/3257/4.gif" \* MERGEFORMATINET </w:instrText>
            </w:r>
            <w:r>
              <w:rPr>
                <w:rFonts w:ascii="Verdana" w:hAnsi="Verdana" w:cs="Tahoma"/>
                <w:sz w:val="17"/>
                <w:szCs w:val="17"/>
              </w:rPr>
              <w:fldChar w:fldCharType="separate"/>
            </w:r>
            <w:r>
              <w:rPr>
                <w:rFonts w:ascii="Verdana" w:hAnsi="Verdana" w:cs="Tahoma"/>
                <w:sz w:val="17"/>
                <w:szCs w:val="17"/>
              </w:rPr>
              <w:pict>
                <v:shape id="_x0000_i1026" type="#_x0000_t75" alt="Две диаграммы, на которых представлены доли энергопотребления, идущие на обеспечение разного рода служб административных зданий, расположенных в различных климатических зонах" style="width:246pt;height:315.75pt">
                  <v:imagedata r:id="rId6" r:href="rId7"/>
                </v:shape>
              </w:pict>
            </w:r>
            <w:r>
              <w:rPr>
                <w:rFonts w:ascii="Verdana" w:hAnsi="Verdana" w:cs="Tahoma"/>
                <w:sz w:val="17"/>
                <w:szCs w:val="17"/>
              </w:rPr>
              <w:fldChar w:fldCharType="end"/>
            </w:r>
          </w:p>
        </w:tc>
      </w:tr>
      <w:tr w:rsidR="00CB12BB" w:rsidTr="00DC0624">
        <w:trPr>
          <w:tblCellSpacing w:w="15" w:type="dxa"/>
          <w:jc w:val="center"/>
        </w:trPr>
        <w:tc>
          <w:tcPr>
            <w:tcW w:w="8706" w:type="dxa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CB12BB" w:rsidRDefault="00CB12B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</w:t>
            </w:r>
          </w:p>
          <w:p w:rsidR="00CB12BB" w:rsidRPr="00640B83" w:rsidRDefault="00CB12B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         </w:t>
            </w:r>
            <w:r w:rsidRPr="00640B83">
              <w:rPr>
                <w:rFonts w:cs="Tahoma"/>
                <w:color w:val="616161"/>
                <w:szCs w:val="15"/>
              </w:rPr>
              <w:t>Рисунок 4.</w:t>
            </w:r>
          </w:p>
          <w:p w:rsidR="00CB12BB" w:rsidRDefault="00CB12BB" w:rsidP="00DC0624">
            <w:pPr>
              <w:ind w:left="75" w:right="75" w:firstLine="150"/>
              <w:rPr>
                <w:rFonts w:ascii="Verdana" w:hAnsi="Verdana" w:cs="Tahoma"/>
                <w:color w:val="616161"/>
                <w:sz w:val="15"/>
                <w:szCs w:val="15"/>
              </w:rPr>
            </w:pPr>
            <w:r w:rsidRPr="00640B83">
              <w:rPr>
                <w:rFonts w:cs="Tahoma"/>
                <w:color w:val="616161"/>
                <w:szCs w:val="15"/>
              </w:rPr>
              <w:t>Две диаграммы, на которых представлены доли энергопотребления, идущие на обеспечение разного рода служб административных зданий, расположенных в различных климатических зонах. В здании А основная часть энергоресурсов уходит на отопление и освещение. В здании Б превалирует освещение. Именно сравнительный анализ такого рода позволяет понять, на каких участках имеются резервы для сокращения и оптимизации энергопотребления (ASHRAE)</w:t>
            </w:r>
          </w:p>
        </w:tc>
      </w:tr>
    </w:tbl>
    <w:p w:rsidR="00CB12BB" w:rsidRPr="005460A2" w:rsidRDefault="00CB12BB" w:rsidP="00CB12BB">
      <w:pPr>
        <w:pStyle w:val="a3"/>
        <w:spacing w:before="0" w:beforeAutospacing="0" w:after="0" w:afterAutospacing="0"/>
        <w:ind w:firstLine="709"/>
        <w:jc w:val="both"/>
        <w:rPr>
          <w:rFonts w:cs="Tahoma"/>
        </w:rPr>
      </w:pPr>
      <w:r w:rsidRPr="005460A2">
        <w:rPr>
          <w:rFonts w:cs="Tahoma"/>
        </w:rPr>
        <w:t>Более того, не менее 15 % энергии, предусмотренной для сжигания на объекте в течение года, должны давать возобновляемые источники (фотоэлектричество, тепло солнечной радиации, биогаз и т. д.).</w:t>
      </w:r>
    </w:p>
    <w:p w:rsidR="00CB12BB" w:rsidRPr="005460A2" w:rsidRDefault="00CB12BB" w:rsidP="00CB12BB">
      <w:pPr>
        <w:pStyle w:val="a3"/>
        <w:spacing w:before="0" w:beforeAutospacing="0" w:after="0" w:afterAutospacing="0"/>
        <w:ind w:firstLine="709"/>
        <w:jc w:val="both"/>
        <w:rPr>
          <w:rFonts w:cs="Tahoma"/>
        </w:rPr>
      </w:pPr>
      <w:r w:rsidRPr="005460A2">
        <w:rPr>
          <w:rFonts w:cs="Tahoma"/>
        </w:rPr>
        <w:t>Следующая актуальная задача – сокращение использования питьевой воды из водопровода, поскольку острая нехватка воды, особенно летом, в Италии вовсе не редкость. Сбор и использование дождевой воды (там, где это возможно) для технических целей, а также более умеренное использование водопроводной воды для второстепенных целей, представляют реальную альтернативу, которой можно воспользоваться при подготовке экологически безопасного строительного проекта. Расход воды вполне реально сократить на 30–40 % по сравнению с аналогичными зданиями традиционной концепции. Также можно предусмотреть утилизацию и повторное использование для технических целей сточных вод объекта. К элементам экологической безопасности здания можно отнести рециркуляцию или первичную обработку хотя бы 60 % твердых бытовых отходов.</w:t>
      </w:r>
    </w:p>
    <w:p w:rsidR="00CB12BB" w:rsidRPr="005460A2" w:rsidRDefault="00CB12BB" w:rsidP="00CB12BB">
      <w:pPr>
        <w:pStyle w:val="a3"/>
        <w:spacing w:before="0" w:beforeAutospacing="0" w:after="0" w:afterAutospacing="0"/>
        <w:ind w:firstLine="709"/>
        <w:jc w:val="both"/>
        <w:rPr>
          <w:rFonts w:cs="Tahoma"/>
        </w:rPr>
      </w:pPr>
      <w:r w:rsidRPr="005460A2">
        <w:rPr>
          <w:rFonts w:cs="Tahoma"/>
        </w:rPr>
        <w:lastRenderedPageBreak/>
        <w:t>Непосредственно для строительства рекомендуется как можно шире использовать натуральные материалы без обработки или же обработанные веществами, которые не были бы вредными и не загрязняли окружающую среду, что позволит обеспечить высокое качество воздуха в помещениях и, следовательно, здоровье непосредственных пользователей данного здания.</w:t>
      </w:r>
    </w:p>
    <w:tbl>
      <w:tblPr>
        <w:tblW w:w="8256" w:type="dxa"/>
        <w:jc w:val="center"/>
        <w:tblCellSpacing w:w="1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56"/>
      </w:tblGrid>
      <w:tr w:rsidR="00CB12BB" w:rsidTr="00DC0624">
        <w:trPr>
          <w:tblCellSpacing w:w="15" w:type="dxa"/>
          <w:jc w:val="center"/>
        </w:trPr>
        <w:tc>
          <w:tcPr>
            <w:tcW w:w="8196" w:type="dxa"/>
            <w:tcBorders>
              <w:top w:val="single" w:sz="6" w:space="0" w:color="7575AD"/>
              <w:left w:val="single" w:sz="6" w:space="0" w:color="7575AD"/>
              <w:bottom w:val="single" w:sz="6" w:space="0" w:color="7575AD"/>
              <w:right w:val="single" w:sz="6" w:space="0" w:color="7575AD"/>
            </w:tcBorders>
            <w:vAlign w:val="center"/>
          </w:tcPr>
          <w:p w:rsidR="00CB12BB" w:rsidRDefault="00CB12BB" w:rsidP="00DC0624">
            <w:pPr>
              <w:jc w:val="center"/>
              <w:rPr>
                <w:rFonts w:ascii="Verdana" w:hAnsi="Verdana" w:cs="Tahoma"/>
                <w:sz w:val="17"/>
                <w:szCs w:val="17"/>
              </w:rPr>
            </w:pPr>
            <w:r>
              <w:rPr>
                <w:rFonts w:ascii="Verdana" w:hAnsi="Verdana" w:cs="Tahoma"/>
                <w:sz w:val="17"/>
                <w:szCs w:val="17"/>
              </w:rPr>
              <w:fldChar w:fldCharType="begin"/>
            </w:r>
            <w:r>
              <w:rPr>
                <w:rFonts w:ascii="Verdana" w:hAnsi="Verdana" w:cs="Tahoma"/>
                <w:sz w:val="17"/>
                <w:szCs w:val="17"/>
              </w:rPr>
              <w:instrText xml:space="preserve"> INCLUDEPICTURE "http://www.abok.ru/for_spec/articles/16/3257/5.gif" \* MERGEFORMATINET </w:instrText>
            </w:r>
            <w:r>
              <w:rPr>
                <w:rFonts w:ascii="Verdana" w:hAnsi="Verdana" w:cs="Tahoma"/>
                <w:sz w:val="17"/>
                <w:szCs w:val="17"/>
              </w:rPr>
              <w:fldChar w:fldCharType="separate"/>
            </w:r>
            <w:r>
              <w:rPr>
                <w:rFonts w:ascii="Verdana" w:hAnsi="Verdana" w:cs="Tahoma"/>
                <w:sz w:val="17"/>
                <w:szCs w:val="17"/>
              </w:rPr>
              <w:pict>
                <v:shape id="_x0000_i1027" type="#_x0000_t75" style="width:299.25pt;height:367.5pt">
                  <v:imagedata r:id="rId8" r:href="rId9"/>
                </v:shape>
              </w:pict>
            </w:r>
            <w:r>
              <w:rPr>
                <w:rFonts w:ascii="Verdana" w:hAnsi="Verdana" w:cs="Tahoma"/>
                <w:sz w:val="17"/>
                <w:szCs w:val="17"/>
              </w:rPr>
              <w:fldChar w:fldCharType="end"/>
            </w:r>
          </w:p>
        </w:tc>
      </w:tr>
      <w:tr w:rsidR="00CB12BB" w:rsidTr="00DC0624">
        <w:trPr>
          <w:tblCellSpacing w:w="15" w:type="dxa"/>
          <w:jc w:val="center"/>
        </w:trPr>
        <w:tc>
          <w:tcPr>
            <w:tcW w:w="8196" w:type="dxa"/>
            <w:tcBorders>
              <w:top w:val="single" w:sz="6" w:space="0" w:color="7575AD"/>
              <w:bottom w:val="single" w:sz="12" w:space="0" w:color="7575AD"/>
            </w:tcBorders>
            <w:tcMar>
              <w:top w:w="150" w:type="dxa"/>
              <w:left w:w="0" w:type="dxa"/>
              <w:bottom w:w="30" w:type="dxa"/>
              <w:right w:w="0" w:type="dxa"/>
            </w:tcMar>
            <w:vAlign w:val="center"/>
          </w:tcPr>
          <w:p w:rsidR="00CB12BB" w:rsidRDefault="00CB12B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    </w:t>
            </w:r>
          </w:p>
          <w:p w:rsidR="00CB12BB" w:rsidRPr="00640B83" w:rsidRDefault="00CB12BB" w:rsidP="00DC0624">
            <w:pPr>
              <w:ind w:left="75" w:right="75" w:firstLine="150"/>
              <w:rPr>
                <w:rFonts w:cs="Tahoma"/>
                <w:color w:val="616161"/>
                <w:szCs w:val="15"/>
              </w:rPr>
            </w:pPr>
            <w:r>
              <w:rPr>
                <w:rFonts w:cs="Tahoma"/>
                <w:color w:val="616161"/>
                <w:szCs w:val="15"/>
              </w:rPr>
              <w:t xml:space="preserve">                                                   </w:t>
            </w:r>
            <w:r w:rsidRPr="00640B83">
              <w:rPr>
                <w:rFonts w:cs="Tahoma"/>
                <w:color w:val="616161"/>
                <w:szCs w:val="15"/>
              </w:rPr>
              <w:t>Рисунок 5.</w:t>
            </w:r>
          </w:p>
          <w:p w:rsidR="00CB12BB" w:rsidRDefault="00CB12BB" w:rsidP="00DC0624">
            <w:pPr>
              <w:ind w:left="75" w:right="75" w:firstLine="150"/>
              <w:rPr>
                <w:rFonts w:ascii="Verdana" w:hAnsi="Verdana" w:cs="Tahoma"/>
                <w:color w:val="616161"/>
                <w:sz w:val="15"/>
                <w:szCs w:val="15"/>
              </w:rPr>
            </w:pPr>
            <w:r w:rsidRPr="00640B83">
              <w:rPr>
                <w:rFonts w:cs="Tahoma"/>
                <w:color w:val="616161"/>
                <w:szCs w:val="15"/>
              </w:rPr>
              <w:t>Смещение пикового потребления электрической энергии холодильными машинами с дневного на ночной период требует использования холодильных систем накопительного типа, которые с учетом участившихся случаев нехватки электрической энергии в пиковый летний период становятся все более актуальными</w:t>
            </w:r>
          </w:p>
        </w:tc>
      </w:tr>
    </w:tbl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FDA"/>
    <w:rsid w:val="006A4460"/>
    <w:rsid w:val="00B15FDA"/>
    <w:rsid w:val="00CB1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C48447-A173-419A-BB45-919581023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2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B12B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http://www.abok.ru/for_spec/articles/16/3257/4.gi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http://www.abok.ru/for_spec/articles/16/3257/3.gif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http://www.abok.ru/for_spec/articles/16/3257/5.gi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722</Words>
  <Characters>4122</Characters>
  <Application>Microsoft Office Word</Application>
  <DocSecurity>0</DocSecurity>
  <Lines>34</Lines>
  <Paragraphs>9</Paragraphs>
  <ScaleCrop>false</ScaleCrop>
  <Company>SPecialiST RePack</Company>
  <LinksUpToDate>false</LinksUpToDate>
  <CharactersWithSpaces>4835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2019-02-20T03:16:00Z</dcterms:created>
  <dcterms:modified xsi:type="dcterms:W3CDTF">2019-02-20T03:16:00Z</dcterms:modified>
</cp:coreProperties>
</file>